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document_image_rId10.png"/>
  <Override ContentType="image/png" PartName="/word/media/document_image_rId11.png"/>
  <Override ContentType="image/png" PartName="/word/media/document_image_rId9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/>
        <w:ind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Times New Roman" w:hAnsi="Times New Roman" w:eastAsia="Times New Roman"/>
          <w:color w:val="0000FF"/>
          <w:sz w:val="48"/>
          <w:szCs w:val="48"/>
        </w:rPr>
      </w:r>
    </w:p>
    <w:p>
      <w:pPr>
        <w:spacing/>
        <w:ind/>
        <w:jc w:val="left"/>
        <w:rPr>
          <w:rFonts w:ascii="Times New Roman" w:hAnsi="Times New Roman" w:eastAsia="Times New Roman"/>
          <w:color w:val="0000FF"/>
          <w:sz w:val="48"/>
          <w:szCs w:val="48"/>
        </w:rPr>
      </w:pPr>
      <w:r>
        <w:rPr>
          <w:rFonts w:ascii="Times New Roman" w:hAnsi="Times New Roman" w:eastAsia="Times New Roman"/>
          <w:color w:val="0000FF"/>
          <w:sz w:val="48"/>
          <w:szCs w:val="48"/>
        </w:rPr>
        <w:t>(</w:t>
      </w:r>
      <w:r>
        <w:rPr>
          <w:rFonts w:ascii="宋体" w:hAnsi="宋体" w:eastAsia="宋体"/>
          <w:color w:val="0000FF"/>
          <w:sz w:val="48"/>
          <w:szCs w:val="48"/>
        </w:rPr>
        <w:t>可拆卸</w:t>
      </w:r>
      <w:r>
        <w:rPr>
          <w:rFonts w:ascii="Times New Roman" w:hAnsi="Times New Roman" w:eastAsia="Times New Roman"/>
          <w:color w:val="0000FF"/>
          <w:sz w:val="48"/>
          <w:szCs w:val="48"/>
        </w:rPr>
        <w:t>)</w:t>
      </w:r>
      <w:r>
        <w:rPr>
          <w:rFonts w:ascii="宋体" w:hAnsi="宋体" w:eastAsia="宋体"/>
          <w:color w:val="0000FF"/>
          <w:sz w:val="48"/>
          <w:szCs w:val="48"/>
        </w:rPr>
        <w:t>水平</w:t>
      </w:r>
    </w:p>
    <w:p>
      <w:pPr>
        <w:spacing/>
        <w:ind/>
        <w:jc w:val="left"/>
        <w:rPr>
          <w:rFonts w:ascii="Times New Roman" w:hAnsi="Times New Roman" w:eastAsia="Times New Roman"/>
          <w:color w:val="0000FF"/>
          <w:sz w:val="48"/>
          <w:szCs w:val="48"/>
        </w:rPr>
      </w:pPr>
      <w:r>
        <w:rPr>
          <w:rFonts w:ascii="宋体" w:hAnsi="宋体" w:eastAsia="宋体"/>
          <w:color w:val="0000FF"/>
          <w:sz w:val="48"/>
          <w:szCs w:val="48"/>
        </w:rPr>
        <w:t>干式水</w:t>
      </w:r>
    </w:p>
    <w:p>
      <w:pPr>
        <w:spacing/>
        <w:ind w:firstLineChars="3100"/>
        <w:jc w:val="both"/>
        <w:rPr>
          <w:rFonts w:ascii="宋体" w:hAnsi="宋体" w:eastAsia="宋体"/>
          <w:sz w:val="48"/>
          <w:szCs w:val="48"/>
        </w:rPr>
      </w:pPr>
      <w:r>
        <w:rPr>
          <w:rFonts w:ascii="宋体" w:hAnsi="宋体" w:eastAsia="宋体"/>
          <w:color w:val="0000FF"/>
          <w:sz w:val="48"/>
          <w:szCs w:val="48"/>
        </w:rPr>
        <w:t>表说明书</w:t>
      </w:r>
    </w:p>
    <w:p>
      <w:pPr>
        <w:spacing/>
        <w:ind/>
        <w:jc w:val="both"/>
        <w:rPr>
          <w:rFonts w:ascii="宋体" w:hAnsi="宋体" w:eastAsia="宋体"/>
          <w:sz w:val="36"/>
          <w:szCs w:val="36"/>
        </w:rPr>
      </w:pPr>
      <w:r>
        <w:rPr>
          <w:rFonts w:ascii="Times New Roman" w:hAnsi="Times New Roman" w:eastAsia="Times New Roman"/>
          <w:color w:val="0000FF"/>
          <w:sz w:val="48"/>
          <w:szCs w:val="48"/>
        </w:rPr>
        <w:t xml:space="preserve">                  </w:t>
      </w:r>
    </w:p>
    <w:p>
      <w:pPr>
        <w:spacing/>
        <w:ind/>
        <w:jc w:val="center"/>
        <w:rPr>
          <w:rFonts w:ascii="宋体" w:hAnsi="宋体" w:eastAsia="宋体"/>
          <w:spacing w:val="18"/>
          <w:sz w:val="32"/>
          <w:szCs w:val="32"/>
        </w:rPr>
      </w:pPr>
      <w:r>
        <w:rPr>
          <w:rFonts w:ascii="宋体" w:hAnsi="宋体" w:eastAsia="宋体"/>
          <w:b w:val="true"/>
          <w:bCs w:val="true"/>
          <w:color w:val="0000FF"/>
          <w:spacing w:val="18"/>
          <w:kern w:val="10"/>
          <w:sz w:val="32"/>
          <w:szCs w:val="32"/>
        </w:rPr>
        <w:t xml:space="preserve">   </w:t>
      </w:r>
    </w:p>
    <w:p>
      <w:pPr>
        <w:spacing/>
        <w:ind/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pacing w:val="100"/>
          <w:sz w:val="32"/>
          <w:szCs w:val="32"/>
        </w:rPr>
      </w:r>
    </w:p>
    <w:p>
      <w:pPr>
        <w:spacing/>
        <w:ind w:hangingChars="100"/>
        <w:jc w:val="center"/>
        <w:rPr>
          <w:rFonts w:ascii="宋体" w:hAnsi="宋体" w:eastAsia="宋体"/>
          <w:spacing w:val="-30"/>
          <w:sz w:val="24"/>
          <w:szCs w:val="24"/>
        </w:rPr>
      </w:pPr>
      <w:r>
        <w:rPr>
          <w:rFonts w:ascii="Times New Roman" w:hAnsi="Times New Roman" w:eastAsia="Times New Roman"/>
          <w:b w:val="true"/>
          <w:bCs w:val="true"/>
          <w:color w:val="0081C2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eastAsia="Times New Roman"/>
          <w:b w:val="true"/>
          <w:bCs w:val="true"/>
          <w:color w:val="0081C2"/>
          <w:spacing w:val="100"/>
          <w:sz w:val="32"/>
          <w:szCs w:val="32"/>
        </w:rPr>
        <w:t xml:space="preserve">                </w:t>
      </w:r>
    </w:p>
    <w:p>
      <w:pPr>
        <w:spacing/>
        <w:ind w:left="2"/>
        <w:jc w:val="center"/>
        <w:rPr>
          <w:rFonts w:ascii="宋体" w:hAnsi="宋体" w:eastAsia="宋体"/>
          <w:sz w:val="52"/>
          <w:szCs w:val="52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1924050" cy="2238375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ind w:hangingChars="100"/>
        <w:jc w:val="center"/>
        <w:rPr>
          <w:rFonts w:ascii="宋体" w:hAnsi="宋体" w:eastAsia="宋体"/>
          <w:spacing w:val="-30"/>
          <w:sz w:val="24"/>
          <w:szCs w:val="24"/>
        </w:rPr>
      </w:pPr>
      <w:r>
        <w:rPr>
          <w:rFonts w:ascii="宋体" w:hAnsi="宋体" w:eastAsia="宋体"/>
          <w:spacing w:val="-30"/>
          <w:sz w:val="24"/>
          <w:szCs w:val="24"/>
        </w:rPr>
      </w:r>
    </w:p>
    <w:p>
      <w:pPr>
        <w:spacing/>
        <w:ind w:hangingChars="100"/>
        <w:jc w:val="center"/>
        <w:rPr>
          <w:rFonts w:ascii="宋体" w:hAnsi="宋体" w:eastAsia="宋体"/>
          <w:spacing w:val="-30"/>
          <w:sz w:val="24"/>
          <w:szCs w:val="24"/>
        </w:rPr>
      </w:pPr>
      <w:r>
        <w:rPr>
          <w:rFonts w:ascii="宋体" w:hAnsi="宋体" w:eastAsia="宋体"/>
          <w:spacing w:val="-30"/>
          <w:sz w:val="24"/>
          <w:szCs w:val="24"/>
        </w:rPr>
      </w:r>
    </w:p>
    <w:p>
      <w:pPr>
        <w:spacing/>
        <w:ind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</w:r>
    </w:p>
    <w:p>
      <w:pPr>
        <w:pStyle w:val="heading2"/>
        <w:snapToGrid w:val="true"/>
        <w:spacing/>
        <w:ind/>
        <w:jc w:val="both"/>
        <w:rPr>
          <w:rFonts w:ascii="宋体" w:hAnsi="宋体" w:eastAsia="宋体"/>
        </w:rPr>
      </w:pPr>
      <w:r>
        <w:rPr>
          <w:rFonts w:ascii="Times New Roman" w:hAnsi="Times New Roman" w:eastAsia="Times New Roman"/>
        </w:rPr>
        <w:t xml:space="preserve">                                                                 </w:t>
      </w:r>
    </w:p>
    <w:p>
      <w:pPr>
        <w:spacing/>
        <w:ind/>
        <w:jc w:val="both"/>
        <w:rPr>
          <w:rFonts w:ascii="宋体" w:hAnsi="宋体" w:eastAsia="宋体"/>
          <w:sz w:val="21"/>
          <w:szCs w:val="21"/>
        </w:rPr>
      </w:pPr>
      <w:r>
        <w:rPr>
          <w:rFonts w:ascii="Times New Roman" w:hAnsi="Times New Roman" w:eastAsia="Times New Roman"/>
          <w:sz w:val="21"/>
          <w:szCs w:val="21"/>
        </w:rPr>
        <w:t xml:space="preserve">                                                                  </w:t>
      </w:r>
    </w:p>
    <w:p>
      <w:pPr>
        <w:spacing/>
        <w:ind/>
        <w:jc w:val="both"/>
        <w:rPr>
          <w:rFonts w:ascii="宋体" w:hAnsi="宋体" w:eastAsia="宋体"/>
          <w:sz w:val="21"/>
          <w:szCs w:val="21"/>
        </w:rPr>
      </w:pPr>
      <w:r>
        <w:rPr>
          <w:rFonts w:ascii="Times New Roman" w:hAnsi="Times New Roman" w:eastAsia="Times New Roman"/>
          <w:sz w:val="21"/>
          <w:szCs w:val="21"/>
        </w:rPr>
        <w:t xml:space="preserve">  </w:t>
      </w:r>
    </w:p>
    <w:p>
      <w:pPr>
        <w:spacing/>
        <w:ind/>
        <w:jc w:val="both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</w:r>
    </w:p>
    <w:p>
      <w:pPr>
        <w:spacing/>
        <w:ind/>
        <w:jc w:val="right"/>
        <w:rPr>
          <w:rFonts w:ascii="宋体" w:hAnsi="宋体" w:eastAsia="宋体"/>
          <w:sz w:val="21"/>
          <w:szCs w:val="21"/>
        </w:rPr>
      </w:pPr>
      <w:r>
        <w:rPr>
          <w:rFonts w:ascii="Times New Roman" w:hAnsi="Times New Roman" w:eastAsia="Times New Roman"/>
          <w:sz w:val="21"/>
          <w:szCs w:val="21"/>
        </w:rPr>
        <w:t xml:space="preserve">                                                                                                                   </w:t>
      </w:r>
    </w:p>
    <w:p>
      <w:pPr>
        <w:spacing/>
        <w:ind/>
        <w:jc w:val="both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</w:r>
    </w:p>
    <w:p>
      <w:pPr>
        <w:spacing/>
        <w:ind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</w:r>
    </w:p>
    <w:p>
      <w:pPr>
        <w:spacing/>
        <w:ind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</w:r>
    </w:p>
    <w:p>
      <w:pPr>
        <w:spacing/>
        <w:ind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 w:line="400" w:lineRule="exact"/>
        <w:ind w:rightChars="98" w:firstLineChars="195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一、种类与用途</w:t>
      </w:r>
      <w:r>
        <w:rPr>
          <w:rFonts w:ascii="宋体" w:hAnsi="宋体" w:eastAsia="宋体"/>
          <w:color w:val="000000"/>
          <w:sz w:val="28"/>
          <w:szCs w:val="28"/>
        </w:rPr>
        <w:t>:</w:t>
      </w:r>
    </w:p>
    <w:p>
      <w:pPr>
        <w:spacing w:line="400" w:lineRule="exact"/>
        <w:ind w:firstLineChars="171"/>
        <w:jc w:val="left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(</w:t>
      </w:r>
      <w:r>
        <w:rPr>
          <w:rFonts w:ascii="宋体" w:hAnsi="宋体" w:eastAsia="宋体"/>
          <w:sz w:val="24"/>
          <w:szCs w:val="24"/>
        </w:rPr>
        <w:t>可拆卸</w:t>
      </w:r>
      <w:r>
        <w:rPr>
          <w:rFonts w:ascii="Times New Roman" w:hAnsi="Times New Roman" w:eastAsia="Times New Roman"/>
          <w:sz w:val="24"/>
          <w:szCs w:val="24"/>
        </w:rPr>
        <w:t>)</w:t>
      </w:r>
      <w:r>
        <w:rPr>
          <w:rFonts w:ascii="宋体" w:hAnsi="宋体" w:eastAsia="宋体"/>
          <w:sz w:val="24"/>
          <w:szCs w:val="24"/>
        </w:rPr>
        <w:t>水平螺翼干式冷水</w:t>
      </w:r>
      <w:r>
        <w:rPr>
          <w:rFonts w:ascii="Times New Roman" w:hAnsi="Times New Roman" w:eastAsia="Times New Roman"/>
          <w:sz w:val="24"/>
          <w:szCs w:val="24"/>
        </w:rPr>
        <w:t>(</w:t>
      </w:r>
      <w:r>
        <w:rPr>
          <w:rFonts w:ascii="宋体" w:hAnsi="宋体" w:eastAsia="宋体"/>
          <w:sz w:val="24"/>
          <w:szCs w:val="24"/>
        </w:rPr>
        <w:t>热水</w:t>
      </w:r>
      <w:r>
        <w:rPr>
          <w:rFonts w:ascii="Times New Roman" w:hAnsi="Times New Roman" w:eastAsia="Times New Roman"/>
          <w:sz w:val="24"/>
          <w:szCs w:val="24"/>
        </w:rPr>
        <w:t>)</w:t>
      </w:r>
      <w:r>
        <w:rPr>
          <w:rFonts w:ascii="宋体" w:hAnsi="宋体" w:eastAsia="宋体"/>
          <w:sz w:val="24"/>
          <w:szCs w:val="24"/>
        </w:rPr>
        <w:t>水表是用于计量流经自来水管道水的体积总量的仪表，具有发讯功能。分别适用于对饮用冷水或热水的计量，对污水及有腐蚀性的液体不能使用。该表系干式磁耦合传动，在不拆卸水表的情况下，该表的计量机构可以取出进行维护。具有维修方便，读数直观、计量准确等特点。冷水水表符合</w:t>
      </w:r>
      <w:r>
        <w:rPr>
          <w:rFonts w:ascii="Times New Roman" w:hAnsi="Times New Roman" w:eastAsia="Times New Roman"/>
          <w:sz w:val="24"/>
          <w:szCs w:val="24"/>
        </w:rPr>
        <w:t>GB/T778.1</w:t>
      </w:r>
      <w:r>
        <w:rPr>
          <w:rFonts w:ascii="宋体" w:hAnsi="宋体" w:eastAsia="宋体"/>
          <w:sz w:val="24"/>
          <w:szCs w:val="24"/>
        </w:rPr>
        <w:t>～</w:t>
      </w:r>
      <w:r>
        <w:rPr>
          <w:rFonts w:ascii="Times New Roman" w:hAnsi="Times New Roman" w:eastAsia="Times New Roman"/>
          <w:sz w:val="24"/>
          <w:szCs w:val="24"/>
        </w:rPr>
        <w:t xml:space="preserve">3-2007 </w:t>
      </w:r>
      <w:r>
        <w:rPr>
          <w:rFonts w:ascii="宋体" w:hAnsi="宋体" w:eastAsia="宋体"/>
          <w:sz w:val="24"/>
          <w:szCs w:val="24"/>
        </w:rPr>
        <w:t>、热水水表符合</w:t>
      </w:r>
      <w:r>
        <w:rPr>
          <w:rFonts w:ascii="Times New Roman" w:hAnsi="Times New Roman" w:eastAsia="Times New Roman"/>
          <w:sz w:val="24"/>
          <w:szCs w:val="24"/>
        </w:rPr>
        <w:t>JB/T8802-1998</w:t>
      </w:r>
      <w:r>
        <w:rPr>
          <w:rFonts w:ascii="宋体" w:hAnsi="宋体" w:eastAsia="宋体"/>
          <w:sz w:val="24"/>
          <w:szCs w:val="24"/>
        </w:rPr>
        <w:t>、发讯水表符合</w:t>
      </w:r>
      <w:r>
        <w:rPr>
          <w:rFonts w:ascii="Times New Roman" w:hAnsi="Times New Roman" w:eastAsia="Times New Roman"/>
          <w:sz w:val="24"/>
          <w:szCs w:val="24"/>
        </w:rPr>
        <w:t>Q/320700JR05</w:t>
      </w:r>
      <w:r>
        <w:rPr>
          <w:rFonts w:ascii="宋体" w:hAnsi="宋体" w:eastAsia="宋体"/>
          <w:sz w:val="24"/>
          <w:szCs w:val="24"/>
        </w:rPr>
        <w:t>的标准要求。</w:t>
      </w:r>
    </w:p>
    <w:p>
      <w:pPr>
        <w:spacing w:line="400" w:lineRule="exact"/>
        <w:ind w:firstLineChars="171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二、使用条件：</w:t>
      </w:r>
    </w:p>
    <w:p>
      <w:pPr>
        <w:spacing w:line="400" w:lineRule="exact"/>
        <w:ind w:firstLine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1、直接读、冷水水表</w:t>
      </w:r>
      <w:r>
        <w:rPr>
          <w:rFonts w:ascii="Times New Roman" w:hAnsi="Times New Roman" w:eastAsia="Times New Roman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t>水温：</w:t>
      </w:r>
      <w:r>
        <w:rPr>
          <w:rFonts w:ascii="Times New Roman" w:hAnsi="Times New Roman" w:eastAsia="Times New Roman"/>
          <w:sz w:val="24"/>
          <w:szCs w:val="24"/>
        </w:rPr>
        <w:t xml:space="preserve"> 0.1</w:t>
      </w:r>
      <w:r>
        <w:rPr>
          <w:rFonts w:ascii="宋体" w:hAnsi="宋体" w:eastAsia="宋体"/>
          <w:sz w:val="24"/>
          <w:szCs w:val="24"/>
        </w:rPr>
        <w:t>℃～</w:t>
      </w:r>
      <w:r>
        <w:rPr>
          <w:rFonts w:ascii="Times New Roman" w:hAnsi="Times New Roman" w:eastAsia="Times New Roman"/>
          <w:sz w:val="24"/>
          <w:szCs w:val="24"/>
        </w:rPr>
        <w:t>30</w:t>
      </w:r>
      <w:r>
        <w:rPr>
          <w:rFonts w:ascii="宋体" w:hAnsi="宋体" w:eastAsia="宋体"/>
          <w:sz w:val="24"/>
          <w:szCs w:val="24"/>
        </w:rPr>
        <w:t>℃</w:t>
      </w:r>
      <w:r>
        <w:rPr>
          <w:rFonts w:ascii="Times New Roman" w:hAnsi="Times New Roman" w:eastAsia="Times New Roman"/>
          <w:sz w:val="24"/>
          <w:szCs w:val="24"/>
        </w:rPr>
        <w:t xml:space="preserve">    </w:t>
      </w:r>
    </w:p>
    <w:p>
      <w:pPr>
        <w:spacing w:line="400" w:lineRule="exact"/>
        <w:ind w:firstLine="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工作压力：≤</w:t>
      </w:r>
      <w:r>
        <w:rPr>
          <w:rFonts w:ascii="Times New Roman" w:hAnsi="Times New Roman" w:eastAsia="Times New Roman"/>
          <w:sz w:val="24"/>
          <w:szCs w:val="24"/>
        </w:rPr>
        <w:t xml:space="preserve"> 1.0MPa(</w:t>
      </w:r>
      <w:r>
        <w:rPr>
          <w:rFonts w:ascii="宋体" w:hAnsi="宋体" w:eastAsia="宋体"/>
          <w:sz w:val="24"/>
          <w:szCs w:val="24"/>
        </w:rPr>
        <w:t>特殊需要时</w:t>
      </w:r>
      <w:r>
        <w:rPr>
          <w:rFonts w:ascii="Times New Roman" w:hAnsi="Times New Roman" w:eastAsia="Times New Roman"/>
          <w:sz w:val="24"/>
          <w:szCs w:val="24"/>
        </w:rPr>
        <w:t xml:space="preserve">1.6MPa)  </w:t>
      </w:r>
    </w:p>
    <w:p>
      <w:pPr>
        <w:spacing w:line="400" w:lineRule="exact"/>
        <w:ind w:firstLine="0"/>
        <w:jc w:val="left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Times New Roman" w:hAnsi="Times New Roman" w:eastAsia="Times New Roman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、热水水表</w:t>
      </w:r>
      <w:r>
        <w:rPr>
          <w:rFonts w:ascii="Times New Roman" w:hAnsi="Times New Roman" w:eastAsia="Times New Roman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t>水温：</w:t>
      </w:r>
      <w:r>
        <w:rPr>
          <w:rFonts w:ascii="Times New Roman" w:hAnsi="Times New Roman" w:eastAsia="Times New Roman"/>
          <w:sz w:val="24"/>
          <w:szCs w:val="24"/>
        </w:rPr>
        <w:t xml:space="preserve"> 30</w:t>
      </w:r>
      <w:r>
        <w:rPr>
          <w:rFonts w:ascii="宋体" w:hAnsi="宋体" w:eastAsia="宋体"/>
          <w:sz w:val="24"/>
          <w:szCs w:val="24"/>
        </w:rPr>
        <w:t>℃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～</w:t>
      </w:r>
      <w:r>
        <w:rPr>
          <w:rFonts w:ascii="Times New Roman" w:hAnsi="Times New Roman" w:eastAsia="Times New Roman"/>
          <w:sz w:val="24"/>
          <w:szCs w:val="24"/>
        </w:rPr>
        <w:t>90</w:t>
      </w:r>
      <w:r>
        <w:rPr>
          <w:rFonts w:ascii="宋体" w:hAnsi="宋体" w:eastAsia="宋体"/>
          <w:sz w:val="24"/>
          <w:szCs w:val="24"/>
        </w:rPr>
        <w:t>℃</w:t>
      </w:r>
      <w:r>
        <w:rPr>
          <w:rFonts w:ascii="Times New Roman" w:hAnsi="Times New Roman" w:eastAsia="Times New Roman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t>工作压力：≤</w:t>
      </w:r>
      <w:r>
        <w:rPr>
          <w:rFonts w:ascii="Times New Roman" w:hAnsi="Times New Roman" w:eastAsia="Times New Roman"/>
          <w:sz w:val="24"/>
          <w:szCs w:val="24"/>
        </w:rPr>
        <w:t>1.0MPa(</w:t>
      </w:r>
      <w:r>
        <w:rPr>
          <w:rFonts w:ascii="宋体" w:hAnsi="宋体" w:eastAsia="宋体"/>
          <w:sz w:val="24"/>
          <w:szCs w:val="24"/>
        </w:rPr>
        <w:t>特殊需要时</w:t>
      </w:r>
      <w:r>
        <w:rPr>
          <w:rFonts w:ascii="Times New Roman" w:hAnsi="Times New Roman" w:eastAsia="Times New Roman"/>
          <w:sz w:val="24"/>
          <w:szCs w:val="24"/>
        </w:rPr>
        <w:t xml:space="preserve">1.6MPa)   </w:t>
      </w:r>
      <w:r>
        <w:rPr>
          <w:rFonts w:ascii="宋体" w:hAnsi="宋体" w:eastAsia="宋体"/>
          <w:b w:val="true"/>
          <w:bCs w:val="true"/>
          <w:sz w:val="24"/>
          <w:szCs w:val="24"/>
        </w:rPr>
        <w:t xml:space="preserve">    </w:t>
      </w:r>
    </w:p>
    <w:p>
      <w:pPr>
        <w:spacing w:line="400" w:lineRule="exact"/>
        <w:ind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三、技术性能(允许误差</w:t>
      </w:r>
      <w:r>
        <w:rPr>
          <w:rFonts w:ascii="Times New Roman" w:hAnsi="Times New Roman" w:eastAsia="Times New Roman"/>
          <w:b w:val="true"/>
          <w:bCs w:val="true"/>
          <w:color w:val="000000"/>
          <w:sz w:val="28"/>
          <w:szCs w:val="28"/>
        </w:rPr>
        <w:t>)</w:t>
      </w:r>
    </w:p>
    <w:p>
      <w:pPr>
        <w:spacing/>
        <w:ind w:leftChars="195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从包括最小流量在内到不包括分界流量的低区中的最大允许误差为±5％。</w:t>
      </w:r>
    </w:p>
    <w:p>
      <w:pPr>
        <w:spacing/>
        <w:ind w:leftChars="195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从包括分界流量在内到包括过载流量的高区中的最大允许误差为±2％。</w:t>
      </w:r>
    </w:p>
    <w:p>
      <w:pPr>
        <w:spacing w:line="400" w:lineRule="exact"/>
        <w:ind w:leftChars="100" w:rightChars="98" w:firstLineChars="98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四、产品选型：（壳体材质：灰铁、球铁、不锈钢）</w:t>
      </w:r>
    </w:p>
    <w:p>
      <w:pPr>
        <w:spacing/>
        <w:ind/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z w:val="44"/>
          <w:szCs w:val="44"/>
        </w:rPr>
      </w:r>
    </w:p>
    <w:p>
      <w:pPr>
        <w:spacing/>
        <w:ind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LXLC-50-300（/FX）水平螺翼可拆卸式水表（普通、远传）</w:t>
      </w:r>
    </w:p>
    <w:p>
      <w:pPr>
        <w:spacing/>
        <w:ind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DN50～DN300流量性能参数及外形尺寸</w:t>
      </w:r>
    </w:p>
    <w:tbl>
      <w:tblPr>
        <w:tblStyle w:val="a7"/>
        <w:tblW w:w="0" w:type="auto"/>
        <w:tblInd w:w="-30"/>
        <w:tblLook w:firstRow="1" w:lastRow="0" w:firstColumn="1" w:lastColumn="0" w:noHBand="0" w:noVBand="1" w:val="04A0"/>
      </w:tblPr>
      <w:tblGrid>
        <w:gridCol w:w="765"/>
        <w:gridCol w:w="780"/>
        <w:gridCol w:w="885"/>
        <w:gridCol w:w="795"/>
        <w:gridCol w:w="945"/>
        <w:gridCol w:w="930"/>
        <w:gridCol w:w="930"/>
        <w:gridCol w:w="1275"/>
      </w:tblGrid>
      <w:tr>
        <w:trPr>
          <w:trHeight w:val="39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口径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mm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Q3/Q1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过载流量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Q4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常用流量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Q3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分界流量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Q2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最小流量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Q1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最小读数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最大读数</w:t>
            </w:r>
          </w:p>
        </w:tc>
      </w:tr>
      <w:tr>
        <w:trPr>
          <w:trHeight w:val="285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35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/h</w:t>
            </w:r>
          </w:p>
        </w:tc>
        <w:tc>
          <w:tcPr>
            <w:tcW w:w="930" w:type="dxa"/>
            <w:gridSpan w:val="2"/>
            <w:tcBorders>
              <w:top w:val="single" w:color="000000" w:sz="8" w:space="0"/>
              <w:left w:val="single" w:color="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95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45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1.28</w:t>
            </w:r>
          </w:p>
        </w:tc>
        <w:tc>
          <w:tcPr>
            <w:tcW w:w="930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5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31.25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after="120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5.04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after="120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78.75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7.938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1.26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after="120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12.6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20.16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312.5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31.5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5.0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50.4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8.0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 w:left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787.5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630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79.38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12.6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14" w:lineRule="auto"/>
              <w:ind w:leftChars="-51" w:rightChars="-5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 w:left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1250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9999999</w:t>
            </w:r>
          </w:p>
        </w:tc>
      </w:tr>
    </w:tbl>
    <w:p>
      <w:pPr>
        <w:spacing/>
        <w:ind/>
        <w:jc w:val="both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z w:val="24"/>
          <w:szCs w:val="24"/>
        </w:rPr>
      </w:r>
    </w:p>
    <w:tbl>
      <w:tblPr>
        <w:tblStyle w:val="a7"/>
        <w:tblW w:w="0" w:type="auto"/>
        <w:tblInd w:w="30"/>
        <w:tblLook w:firstRow="1" w:lastRow="0" w:firstColumn="1" w:lastColumn="0" w:noHBand="0" w:noVBand="1" w:val="04A0"/>
      </w:tblPr>
      <w:tblGrid>
        <w:gridCol w:w="1035"/>
        <w:gridCol w:w="825"/>
        <w:gridCol w:w="825"/>
        <w:gridCol w:w="840"/>
        <w:gridCol w:w="1575"/>
        <w:gridCol w:w="2580"/>
        <w:gridCol w:w="1665"/>
      </w:tblGrid>
      <w:tr>
        <w:trPr>
          <w:trHeight w:val="480" w:hRule="atLeast"/>
        </w:trPr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口径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DN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长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L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宽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B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</w:t>
            </w:r>
          </w:p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H</w:t>
            </w:r>
          </w:p>
        </w:tc>
        <w:tc>
          <w:tcPr>
            <w:tcW w:w="4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连接法兰</w:t>
            </w:r>
          </w:p>
        </w:tc>
      </w:tr>
      <w:tr>
        <w:trPr>
          <w:trHeight w:val="450" w:hRule="atLeast"/>
        </w:trPr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法兰外径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D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80" w:type="dxa"/>
            <w:vMerge w:val="restart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螺栓孔中心圆直径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D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5" w:type="dxa"/>
            <w:vMerge w:val="restart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连接螺栓</w:t>
            </w:r>
          </w:p>
        </w:tc>
      </w:tr>
      <w:tr>
        <w:trPr>
          <w:trHeight w:val="375" w:hRule="atLeast"/>
        </w:trPr>
        <w:tc>
          <w:tcPr>
            <w:tcW w:w="3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2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40</w:t>
            </w:r>
          </w:p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W w:w="825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 w:leftChars="4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40" w:type="dxa"/>
            <w:tcBorders>
              <w:top w:val="single" w:color="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M16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50</w:t>
            </w:r>
          </w:p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 w:leftChars="4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M16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M16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M16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M16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M16</w:t>
            </w:r>
          </w:p>
        </w:tc>
      </w:tr>
      <w:tr>
        <w:trPr>
          <w:trHeight w:val="36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342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8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M20</w:t>
            </w:r>
          </w:p>
        </w:tc>
      </w:tr>
      <w:tr>
        <w:trPr>
          <w:trHeight w:val="5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369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295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M20</w:t>
            </w:r>
          </w:p>
        </w:tc>
      </w:tr>
      <w:tr>
        <w:trPr>
          <w:trHeight w:val="5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395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433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395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M20</w:t>
            </w:r>
          </w:p>
        </w:tc>
      </w:tr>
      <w:tr>
        <w:trPr>
          <w:trHeight w:val="525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445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456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445</w:t>
            </w:r>
          </w:p>
        </w:tc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transparent"/>
            <w:vAlign w:val="top"/>
          </w:tcPr>
          <w:p>
            <w:pPr>
              <w:spacing w:line="360" w:lineRule="auto"/>
              <w:ind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12</w:t>
            </w:r>
            <w:r>
              <w:rPr>
                <w:rFonts w:ascii="黑体" w:hAnsi="黑体" w:eastAsia="黑体"/>
                <w:color w:val="000000"/>
                <w:sz w:val="21"/>
                <w:szCs w:val="21"/>
              </w:rPr>
              <w:t>×</w:t>
            </w:r>
            <w:r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  <w:t>M20</w:t>
            </w:r>
          </w:p>
        </w:tc>
      </w:tr>
    </w:tbl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center"/>
        <w:rPr>
          <w:rFonts w:ascii="宋体" w:hAnsi="宋体" w:eastAsia="宋体"/>
          <w:sz w:val="24"/>
          <w:szCs w:val="24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3086100" cy="2171700"/>
            <wp:effectExtent l="0" t="0" r="0" b="0"/>
            <wp:docPr id="2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 w:after="120"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五、水表的安装</w:t>
      </w:r>
    </w:p>
    <w:p>
      <w:pPr>
        <w:spacing/>
        <w:ind w:leftChars="1" w:hangingChars="17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1、选择水表的口径，应根据管道口径及流量等于或小于水表常用流量为依据。</w:t>
      </w:r>
    </w:p>
    <w:p>
      <w:pPr>
        <w:spacing/>
        <w:ind w:leftChars="1" w:hangingChars="17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2、水表应水平（立式）安装，使表壳上箭头方向与水流方向相同，安装位置要避免曝晒、冰冻、污染和水淹，以便抄表和拆表，新装管道务必把管道内石子、泥沙、麻丝等杂物冲洗干净后再装水表，以免造成水表故障。</w:t>
      </w:r>
    </w:p>
    <w:p>
      <w:pPr>
        <w:spacing/>
        <w:ind w:leftChars="1" w:hangingChars="17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3、为便于拆装和维修，水表上、下游应安装阀门，且水表进、出口应有相同管径的直管段，直管段长度表前不小于管径的10倍，表后不小于管径的5倍。</w:t>
      </w:r>
    </w:p>
    <w:p>
      <w:pPr>
        <w:spacing/>
        <w:ind w:leftChars="1" w:hangingChars="17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4、建议在水表上游安装过滤网，以防混入管道内的杂物损坏水表。</w:t>
      </w:r>
    </w:p>
    <w:p>
      <w:pPr>
        <w:spacing/>
        <w:ind w:leftChars="1" w:hangingChars="17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5、上下游直管段要同轴安装，密封垫不得突入管内，以免引起计量不准。</w:t>
      </w:r>
    </w:p>
    <w:p>
      <w:pPr>
        <w:spacing/>
        <w:ind w:leftChars="1" w:hangingChars="17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6、水表安装、搬运过程中切忌牵拉信号传输线，以免造成电信传输故障。</w:t>
      </w:r>
    </w:p>
    <w:p>
      <w:pPr>
        <w:spacing/>
        <w:ind w:leftChars="172" w:hangingChars="2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 w:leftChars="172" w:hangingChars="20"/>
        <w:jc w:val="both"/>
        <w:rPr>
          <w:rFonts w:ascii="宋体" w:hAnsi="宋体" w:eastAsia="宋体"/>
          <w:sz w:val="24"/>
          <w:szCs w:val="24"/>
        </w:rPr>
      </w:pPr>
      <w:r>
        <w:rPr>
          <w:rFonts w:ascii="微软雅黑" w:hAnsi="微软雅黑" w:eastAsia="微软雅黑"/>
          <w:sz w:val="21"/>
          <w:szCs w:val="21"/>
        </w:rPr>
        <w:drawing>
          <wp:inline distT="0" distB="0" distL="0" distR="0">
            <wp:extent cx="5274310" cy="2275954"/>
            <wp:effectExtent l="0" t="0" r="0" b="0"/>
            <wp:docPr id="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ind w:leftChars="172" w:hangingChars="2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七、遵循标准</w:t>
      </w:r>
    </w:p>
    <w:p>
      <w:pPr>
        <w:spacing/>
        <w:ind w:firstLineChars="4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1、《冷水水表》 GB/T778-2018</w:t>
      </w:r>
    </w:p>
    <w:p>
      <w:pPr>
        <w:spacing/>
        <w:ind w:firstLineChars="4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2、《电子远传水表》 CJ/T224-2006</w:t>
      </w:r>
    </w:p>
    <w:p>
      <w:pPr>
        <w:spacing/>
        <w:ind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p>
      <w:pPr>
        <w:spacing/>
        <w:ind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</w:p>
    <w:sectPr w:rsidR="00C604EC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nhideWhenUsed="true" w:qFormat="true"/>
    <w:lsdException w:name="footer" w:unhideWhenUsed="true" w:qFormat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 w:qFormat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 w:qFormat="true"/>
    <w:lsdException w:name="Table Theme" w:semiHidden="true" w:unhideWhenUsed="true"/>
    <w:lsdException w:name="Placeholder Text" w:semiHidden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pPr>
      <w:widowControl w:val="false"/>
      <w:jc w:val="both"/>
    </w:pPr>
    <w:rPr>
      <w:kern w:val="2"/>
      <w:sz w:val="21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 w:customStyle="true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styleId="a4" w:customStyle="true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paragraph" w:styleId="heading2">
    <w:name w:val="heading 2"/>
    <w:basedOn w:val="a"/>
    <w:next w:val="a"/>
    <w:uiPriority w:val="9"/>
    <w:unhideWhenUsed/>
    <w:qFormat/>
    <w:rsid w:val="001C768A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media/document_image_rId9.png" Type="http://schemas.openxmlformats.org/officeDocument/2006/relationships/image" Id="rId9"/><Relationship Target="media/document_image_rId10.png" Type="http://schemas.openxmlformats.org/officeDocument/2006/relationships/image" Id="rId10"/><Relationship Target="media/document_image_rId11.png" Type="http://schemas.openxmlformats.org/officeDocument/2006/relationships/image" Id="rId11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